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/>
        <w:jc w:val="left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>
      <w:pPr>
        <w:adjustRightInd w:val="0"/>
        <w:snapToGrid w:val="0"/>
        <w:spacing w:after="0" w:afterLines="0" w:line="64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城市地下管网管廊“两重”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建设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可复制</w:t>
      </w:r>
    </w:p>
    <w:p>
      <w:pPr>
        <w:adjustRightInd w:val="0"/>
        <w:snapToGrid w:val="0"/>
        <w:spacing w:after="0" w:afterLines="0" w:line="64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政策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机制清单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（第一批）</w:t>
      </w:r>
    </w:p>
    <w:tbl>
      <w:tblPr>
        <w:tblStyle w:val="1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16"/>
        <w:gridCol w:w="1520"/>
        <w:gridCol w:w="5185"/>
        <w:gridCol w:w="5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政策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机制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主要举措</w:t>
            </w:r>
          </w:p>
        </w:tc>
        <w:tc>
          <w:tcPr>
            <w:tcW w:w="5185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具体做法</w:t>
            </w:r>
          </w:p>
        </w:tc>
        <w:tc>
          <w:tcPr>
            <w:tcW w:w="544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地方实践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_Hlk216884536"/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一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顶层设计与项目谋划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（一）开展管网体检评估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结合已开展的城市地下管网普查、排查和日常巡检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，摸清存量管网分布、运行状态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现状底数，查清管网老化、混错接、病害及漏损等问题。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对管网进行风险评估，辨识风险源，形成隐患或问题清单，制定分级分类的管控和整治措施。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体检评估发现的短板和问题，作为编制专项规划、建设改造实施方案以及谋划具体改造项目的直接依据，提升项目谋划的精准性与系统性。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将管网体检作为周期性、常态化工作，建立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信息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动态更新机制，做到底数常清、状态常明。</w:t>
            </w:r>
          </w:p>
        </w:tc>
        <w:tc>
          <w:tcPr>
            <w:tcW w:w="5442" w:type="dxa"/>
            <w:vAlign w:val="center"/>
          </w:tcPr>
          <w:p>
            <w:pPr>
              <w:adjustRightInd w:val="0"/>
              <w:snapToGrid w:val="0"/>
              <w:spacing w:line="460" w:lineRule="exact"/>
              <w:ind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河南省南阳市、江苏省苏州市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推行供排水管网全面普查与系统化诊断，并与道路改建、城市更新等工程紧密结合，实现从“按病开方”到“靶向改造”的精准治理。</w:t>
            </w:r>
          </w:p>
          <w:p>
            <w:pPr>
              <w:adjustRightInd w:val="0"/>
              <w:snapToGrid w:val="0"/>
              <w:spacing w:line="460" w:lineRule="exact"/>
              <w:ind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江苏省扬州市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结合本地实际，将管网体检深度融入城市体检，构建“60+10+N”特色体检指标体系，划定管网重点部位，评估风险源，逐点明确整治措施，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形成针对性建设改造项目，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系统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提升了风险管控精细化水平。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（二）推动项目谋划与储备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科学编制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专项规划、实施方案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，提高项目谋划的科学性和系统性。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完善相关人员培训、多部门联审、专家论证等机制，提升项目谋划、储备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和组织能力。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按照同一主体、同一片区或同一时序，将关联度高的项目整合打包，形成规模适度、组织灵活、系统性强、成熟度高的综合性项目。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按领域或成熟度分级分类储备项目，实现项目精准调度，优化滚动谋划与储备机制，形成动态更新的项目库。</w:t>
            </w:r>
          </w:p>
          <w:p>
            <w:pPr>
              <w:pStyle w:val="33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强化前期研究与经费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保障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确保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项目在“谋划—储备—申报—实施”各阶段高效衔接。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青海省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项目合理性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评估与合规性审查节点大幅前移，在项目立项阶段对规划、设计、资金等核心要件开展系统性审查，从源头上校准方向、规避重大风险，杜绝项目“带病启动”。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河南省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省级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层面系统构建“谋划一批、储备一批、实施一批”的项目滚动推进机制，形成全省上下联动、质量可控的项目储备体系，通过预审与反馈，全面提升项目谋划水平与前期手续成熟度。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浙江省金华市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建立动态化、分层级的项目储备与管理机制，推行“双库联动”，强化资源整合与项目包装。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山东省聊城市高唐县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坚持“项目跟着政策走、建设围着民生转”，构建“谋划—对接—筹备—落实”闭环推进机制，形成清晰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明确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高效的实施路径。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二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协调联动与项目推进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（一）强化部门协调联动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建立政府统筹的决策体系，提升顶层设计落实能力和重大事项推进效率。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住房城乡建设部门与发展改革、财政、自然资源、生态环境等部门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加强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横向联动，建立部门间常态化沟通与会商机制，共同研究政策、筛选项目、协调解决规划衔接、手续办理、要素保障等跨部门事项。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建立政企良性互动机制，政府部门与专营企业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开展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常态化联动，协同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推进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项目前期谋划与设计、项目建设与施工管理，规范设施移交与有偿使用。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广东省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构建省级“数字化监管+区域应急协同”的双重联动体系，实现项目进展纵向精准管控与突发事件横向高效协同。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山东省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青岛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建立“市级统筹、部门协同、区市落实、企业参与”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四级联动机制，凝聚工作合力，实现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储备与落地无缝衔接。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广东省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深圳市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福建省漳州市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建立高规格、跨部门协调推进机制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深圳市构建“市级指挥部－市住建局－区主管部门”三级协调机制，通过“定期协调+专题会议”全程跟踪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破解堵点。漳州市组建专项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专班，出台系列配套政策，大幅精简审批环节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江苏省南京市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搭建项目共建平台，将民意咨询、方案共商、施工监督嵌入项目全生命周期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（二）项目调度与进度跟踪管理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充分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利用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信息化管理平台，定期开展项目调度和评估，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实时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监测项目进度。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实施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项目进度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动态预警，对进度滞后的项目,建立清单管理、协调会商与限期销号机制。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定期组织现场核查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督查，对项目建设进度、资金使用、运营效率、安全状况、运行效益、群众满意度等进行评估，对成效显著、群众满意度高的项目予以通报表扬，对工作推进不力的项目进行现场督办或约谈通报。</w:t>
            </w:r>
          </w:p>
        </w:tc>
        <w:tc>
          <w:tcPr>
            <w:tcW w:w="5442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福建省漳州市、河南省南阳市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建立常态化调度机制，实现对项目进度的持续把控与快速响应。漳州市将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项目进度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结果纳入绩效考核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南阳市动态储备优质项目以实现“政策出台即对接”。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安徽省合肥市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建立责任清晰、分层响应的“三级调度”机制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要求建设单位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全程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掌握现场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情况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，行业主管部门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及时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协调常规问题，对重大难题启动“提级调度”由上级或跨部门专班解决，明确各层级责任与协调权限，实现问题分层消化、高效解决。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山东省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在全省层面建立重点项目调度督导与问责机制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通过定期调度掌握项目进展与资金拨付情况，对推进不力的市县和单位及时进行现场督办、下发督办单并要求限期整改，有效压实地方责任。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三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施工管理与协同建设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（一）因地制宜优化施工技术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针对历史文化街区、老旧小区、交通繁忙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区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的特殊环境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,精准评估施工限制条件和风险，制定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专项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施工方案。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限制性环境中应用微型化、集约化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施工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方案，减少对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路面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的开挖、对历史风貌的扰动以及对居民出行的影响。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因地制宜优化施工工艺与配套装备，降低对周边建筑物、环境和居民日常生活的干扰。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江苏省南京市、南通市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在限制性环境中推行“低影响、精细化”施工技术。南京市在历史街区采用“微管廊+微介入”方案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定制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使用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迷你设备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南通市在老城区采用静压桩支护、低振动设备，并实时监测地下水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水位与地面沉降风险，有效减少了对居民生活的干扰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山东省潍坊市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在庭院燃气管道改造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，构建“绝缘改造—防腐检测—阴极保护—泄漏监测”四位一体技术体系及标准化作业流程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自主研发新型绝缘活接、不停输安装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工具，形成不停气施工工艺，显著降低了对居民正常用气的影响。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天津市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系统优化老旧小区管网更新施工工艺，采用焊接与压接结合、户内立管外爬等适应性工艺，有效提升了施工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效率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北京市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燃气管网改造中，采用移动式伸缩隔音防尘施工棚，显著降低施工噪声、扬尘与光污染，有效提升环境友好度与居民满意度。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Times New Roman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30"/>
                <w:szCs w:val="30"/>
                <w:highlight w:val="none"/>
              </w:rPr>
              <w:t>（二）完善建设协调机制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统筹地下管网建设改造与道路新建改建、城市更新等项目建设时序，实现道路与各类管线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配套设施同步规划、同步设计，从源头避免重复开挖。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建立管线施工计划统筹报送与会商制度，相关管线单位报送年度开挖计划，统筹协调多条管线在同一路段同步施工，避免“马路拉链”。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搭建多方沟通平台，高效解决施工许可、交通导改、土地纠纷等问题。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构建“建设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—</w:t>
            </w:r>
            <w:bookmarkStart w:id="2" w:name="_GoBack"/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接收</w:t>
            </w:r>
            <w:bookmarkEnd w:id="2"/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”协同与预验收机制，邀请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管线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接收单位全流程参与项目规划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施工，做到运维前置和验收即移交。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建立联合巡查与执法机制，强化对第三方施工破坏管线行为的防控与核查。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江苏省常州市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搭建多部门沟通平台，建立协调快处机制，解决施工许可、交通导改等问题，并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通过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“每日一报+周例会”进行进度预警与纠偏。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江苏省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南通市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构建“党建引领、纵横协同”长效机制，建设、施工、监理、街道、社区五方党建联合体常态化协作，及时化解矛盾。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陕西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西安市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建立项目定期推进会议制度，及时解决施工安全问题。监理单位、专营单位在技术交底、巡检监护、验收投运等关键节点提供技术支持与安全督导，保障管网建设与运行安全。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（三）推进智慧化赋能应用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建设集数据汇聚、智能分析、运行监控、维修调度、移动作业于一体的综合性智慧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平台，实现多要素一网统管与联动调度。</w:t>
            </w:r>
          </w:p>
          <w:p>
            <w:pPr>
              <w:pStyle w:val="33"/>
              <w:widowControl w:val="0"/>
              <w:numPr>
                <w:ilvl w:val="-1"/>
                <w:numId w:val="0"/>
              </w:numPr>
              <w:adjustRightInd w:val="0"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开发智能分析模型，对管网及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配套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设施设备的运行状态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开展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实时监控，实现风险预警、故障诊断和辅助决策。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 w:val="0"/>
              <w:spacing w:line="460" w:lineRule="exact"/>
              <w:ind w:left="0" w:firstLine="600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3.探索“平台+业务”模式，优化现有业务流程，构建线上线下联动机制，提升跨部门协同效率。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浙江省绍兴市、四川省眉山市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着力构建供排水“线上+线下”一体化智慧运行体系。绍兴上虞等地搭建供水数字化统管平台与数智排水平台，实现“厂站网联合调度”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眉山市构建“源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—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shd w:val="clear" w:fill="FFFFFF"/>
              </w:rPr>
              <w:t>网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—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泵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—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户”一体化智慧水务系统，实现年节水量超180万吨。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福建省厦门市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探索管廊管理“多模态数据融合治理+可信数据空间”模式，形成“用数据决策、预警、服务”的智慧管廊新范式。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山东省广饶县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建设“智慧燃气监管平台”，实施气瓶“一码终身管”，构建覆盖充装、配送、使用环节的四维智慧治理体系，推动液化石油气全链条安全系统性提升。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四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长效运维与保障机制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（一）</w:t>
            </w:r>
            <w:bookmarkStart w:id="1" w:name="OLE_LINK1"/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价费改革与成本分担</w:t>
            </w:r>
            <w:bookmarkEnd w:id="1"/>
          </w:p>
        </w:tc>
        <w:tc>
          <w:tcPr>
            <w:tcW w:w="5185" w:type="dxa"/>
            <w:vAlign w:val="center"/>
          </w:tcPr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建立健全公用事业收费动态调整机制，审慎推进成本合理分担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明确财政补贴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保障行业可持续发展。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建立以污染物集中收集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处理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效能和水环境质量提升为核心的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污水系统管理考核机制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，加快推进“按效付费”。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鼓励对管廊资产价值进行科学评估，明确入廊费和日常维护费的核算原则，促进管廊可持续运营。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探索特许经营、TOT（转让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－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运营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－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移交）、基础设施REITs等模式，吸引社会资本，盘活管网存量资产。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江苏省扬州市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因地制宜稳慎推进公用设施成本合理分担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机制，合理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上调管道天然气价格，持续完善污水处理成本分担机制，进一步提升地下管网领域经营收益，吸引各方资本投资。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福建省厦门市、广东省广州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、深圳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、肇庆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等多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细化收费、补贴等政策，为管线入廊与日常维护费提供“标准”，探索建立“谁受益、谁付费”的市场化长效机制。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广东省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东莞市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污水处理效能指标与服务费拨付比例挂钩，运维成效显著提高。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安徽省铜陵市、四川省宜宾市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建立以绩效为导向的资金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付机制。铜陵市对运维资金实行季度“按效付费”，根据考核得分分档支付，并设置连续考核不合格可终止合同的约束条款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宜宾市推行“综合单价+按实计量+绩效考核”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市场化付费模式，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建立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“试运行+逐年动态调整”的单价核定方式，倒逼污水处理设施运维质效提升，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提升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财政资金使用效益。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（二）推行运维一体化模式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建立健全法规政策体系，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推动建立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污水收集处理设施统筹建设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运维管理模式，打破多头管理、碎片化运维的格局。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建立“源、厂、站、网、河”联合调度机制，实现防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洪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排涝、水质保障、水量调配协同联动，提升系统运行效能与应急响应能力。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四川省宜宾市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推行“厂网泵口”全系统管理机制，全面接入厂、网、泵站、排口数据，实现“一网统管”。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浙江省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初步形成“管网一体”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“厂网联动”模式，有效提升运维整体性与协调性。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河南省信阳市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通过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“先委托运营，后资产整合”，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将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9家城市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供排水企业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管网运维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职责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统一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整合至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水务集团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，连续两年做到“零事故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、零停水、零舆情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实现政府减负、民生提质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  <w:p>
            <w:pPr>
              <w:pStyle w:val="33"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湖南省长沙市、江苏省扬州市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通过明确事权财权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实施“委托运营+绩效管理”，提升整体质效。长沙市将市政排水设施统一移交专业集团，构建“五统一”的厂站网一体化格局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扬州市整合资源组建市政公用集团，实现“源网厂河”统一管理。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五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质量安全</w:t>
            </w: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管理与</w:t>
            </w:r>
            <w:r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投融资机制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（一）强化项目安全管理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建立健全安全管理制度与责任体系，落实工程质量终身责任制。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强化源头安全风险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防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控，在项目设计阶段邀请运营、施工等相关方参与图纸审查，重点核验设计方案的安全性、合规性，从源头规避设计缺陷。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开展施工前风险排查，对施工范围内既有管线、地质条件等进行全面调查，优化施工方案和安全防护措施。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建立常态化安全巡查、检查和隐患排查机制，构建多层级监管体系，通过联合检查、专项核查，严格查处违规施工行为，及时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发现并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消除安全隐患。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组织多方责任主体对隐蔽工程、关键节点进行验收，做到安全问题早发现、早整改，严把项目交付安全关。</w:t>
            </w:r>
          </w:p>
          <w:p>
            <w:pPr>
              <w:pStyle w:val="33"/>
              <w:widowControl w:val="0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将安全管理成效纳入相关考核体系，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建立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安全隐患和问题清单，限期整改销号，并对重大安全隐患责任单位和责任人进行严肃问责，实现闭环管理。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四川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广元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坚持“全周期协同、高标准管控”，建立“设计－运维”双向联动机制，燃气企业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全流程参与规划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，保障方案的安全性与运维适配性。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浙江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、湖南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着力打造“线上+线下”安全管控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体系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、聚焦“数智一体”提升风险防范能力，利用数字化手段提升安全监测预警能力。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江苏省</w:t>
            </w: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常州市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建立材料“源头准入－进场验收－现场管理”闭环体系，实行“平台登记+专属喷码”双重管理、“施工单位自查、监理单位复核、见证取样送检”三级检验程序和共同“举牌验收”制度，有效保障工程质量。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天津市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构建“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人员、机器、物料、方法、环境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”一体化管理体系，实时在线抽查项目进展及管控情况，实现全过程留痕、多维度联动闭环，大幅提升监管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效率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黑体" w:hAnsi="黑体" w:eastAsia="黑体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" w:hAnsi="楷体" w:eastAsia="楷体" w:cs="Segoe UI"/>
                <w:color w:val="auto"/>
                <w:kern w:val="0"/>
                <w:sz w:val="30"/>
                <w:szCs w:val="30"/>
                <w:highlight w:val="none"/>
              </w:rPr>
              <w:t>（二）拓宽多元资金筹措渠道</w:t>
            </w:r>
          </w:p>
        </w:tc>
        <w:tc>
          <w:tcPr>
            <w:tcW w:w="5185" w:type="dxa"/>
            <w:vAlign w:val="center"/>
          </w:tcPr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将项目纳入地方城建计划或年度重点任务，通过申请中央资金、安排地方财政预算，保障项目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实施，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发挥政府投资的牵引作用。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符合条件的领域，积极申请并用足用好地方政府专项债券，为具有一定收益的管网项目提供资金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与政策性银行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开展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专项合作，争取中长期贷款授信，发挥开发性金融作用，支持项目建设。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通过PPP、特许经营等模式，引导和鼓励社会资本参与投资、建设和运营，缓解政府短期财政压力。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创新融资模式，将经营性项目与非经营性项目、不同领域的项目进行捆绑组合，提升项目整体融资能力。</w:t>
            </w:r>
          </w:p>
          <w:p>
            <w:pPr>
              <w:pStyle w:val="33"/>
              <w:numPr>
                <w:ilvl w:val="0"/>
                <w:numId w:val="0"/>
              </w:numPr>
              <w:adjustRightInd/>
              <w:snapToGrid/>
              <w:spacing w:line="460" w:lineRule="exact"/>
              <w:ind w:left="0" w:firstLine="600" w:firstLineChars="200"/>
              <w:jc w:val="both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挖掘项目经营性收入，形成“投资-建设-运营-收益”的良性循环，增强项目自身“造血”能力。</w:t>
            </w:r>
          </w:p>
        </w:tc>
        <w:tc>
          <w:tcPr>
            <w:tcW w:w="5442" w:type="dxa"/>
            <w:vAlign w:val="center"/>
          </w:tcPr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江苏省宿迁市、安徽省合肥市、浙江省杭州市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推行“国债+”多渠道资金组合模式，系统整合财政资金、特别国债、地方政府专项债、政策性银行贷款与社会资本，形成“捆绑组合、肥瘦搭配”的协同融资方案，有效放大资金效能。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江西省</w:t>
            </w:r>
            <w:r>
              <w:rPr>
                <w:rFonts w:hint="eastAsia" w:ascii="仿宋_GB2312" w:hAnsi="黑体" w:eastAsia="仿宋_GB2312" w:cs="Segoe UI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省级层面率先建立与开发性金融机构的常态化合作机制，精准支持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管网管廊建设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项目，将政策导向转化为实际信贷投放。</w:t>
            </w:r>
          </w:p>
          <w:p>
            <w:pPr>
              <w:pStyle w:val="33"/>
              <w:widowControl/>
              <w:adjustRightInd w:val="0"/>
              <w:snapToGrid w:val="0"/>
              <w:spacing w:line="460" w:lineRule="exact"/>
              <w:ind w:left="0" w:firstLine="602" w:firstLineChars="200"/>
              <w:jc w:val="left"/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Segoe UI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广东省广州市</w:t>
            </w:r>
            <w:r>
              <w:rPr>
                <w:rFonts w:hint="eastAsia" w:ascii="仿宋_GB2312" w:hAnsi="黑体" w:eastAsia="仿宋_GB2312" w:cs="Segoe UI"/>
                <w:color w:val="auto"/>
                <w:kern w:val="0"/>
                <w:sz w:val="30"/>
                <w:szCs w:val="30"/>
                <w:highlight w:val="none"/>
              </w:rPr>
              <w:t>大力创新市场化投融资模式，运用PPP等方式引入社会资本，并通过地下空间复合开发、广告经营等拓展项目收益，显著降低政府直接投入压力，为大型管廊等设施的可持续运营探索可行路径。</w:t>
            </w:r>
          </w:p>
        </w:tc>
      </w:tr>
      <w:bookmarkEnd w:id="0"/>
    </w:tbl>
    <w:p>
      <w:pPr>
        <w:adjustRightInd w:val="0"/>
        <w:snapToGrid w:val="0"/>
        <w:spacing w:line="400" w:lineRule="exact"/>
        <w:jc w:val="left"/>
        <w:rPr>
          <w:rFonts w:ascii="仿宋_GB2312" w:hAnsi="黑体" w:eastAsia="仿宋_GB2312"/>
          <w:color w:val="auto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794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Sans Lisu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8"/>
        <w:szCs w:val="28"/>
      </w:rPr>
      <w:id w:val="2"/>
    </w:sdtPr>
    <w:sdtEndPr>
      <w:rPr>
        <w:rFonts w:hint="eastAsia" w:ascii="仿宋_GB2312" w:hAnsi="仿宋_GB2312" w:eastAsia="仿宋_GB2312" w:cs="仿宋_GB2312"/>
        <w:sz w:val="30"/>
        <w:szCs w:val="30"/>
      </w:rPr>
    </w:sdtEndPr>
    <w:sdtContent>
      <w:p>
        <w:pPr>
          <w:pStyle w:val="12"/>
          <w:jc w:val="center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—</w:t>
        </w:r>
        <w:r>
          <w:rPr>
            <w:rFonts w:hint="eastAsia" w:ascii="仿宋_GB2312" w:hAnsi="仿宋_GB2312" w:eastAsia="仿宋_GB2312" w:cs="仿宋_GB2312"/>
            <w:sz w:val="30"/>
            <w:szCs w:val="30"/>
          </w:rPr>
          <w:fldChar w:fldCharType="begin"/>
        </w:r>
        <w:r>
          <w:rPr>
            <w:rFonts w:hint="eastAsia" w:ascii="仿宋_GB2312" w:hAnsi="仿宋_GB2312" w:eastAsia="仿宋_GB2312" w:cs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30"/>
            <w:szCs w:val="30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30"/>
            <w:szCs w:val="30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30"/>
            <w:szCs w:val="30"/>
          </w:rPr>
          <w:fldChar w:fldCharType="end"/>
        </w:r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—</w:t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D"/>
    <w:rsid w:val="00005501"/>
    <w:rsid w:val="000055D9"/>
    <w:rsid w:val="00006F57"/>
    <w:rsid w:val="00007BE8"/>
    <w:rsid w:val="000108BB"/>
    <w:rsid w:val="00014417"/>
    <w:rsid w:val="00014B29"/>
    <w:rsid w:val="000322AC"/>
    <w:rsid w:val="00034743"/>
    <w:rsid w:val="00041936"/>
    <w:rsid w:val="00046FE6"/>
    <w:rsid w:val="000503E2"/>
    <w:rsid w:val="000537DE"/>
    <w:rsid w:val="0006136D"/>
    <w:rsid w:val="00066F2F"/>
    <w:rsid w:val="000721D8"/>
    <w:rsid w:val="00073BB8"/>
    <w:rsid w:val="00077D33"/>
    <w:rsid w:val="000846DA"/>
    <w:rsid w:val="00090A37"/>
    <w:rsid w:val="000A01C1"/>
    <w:rsid w:val="000A0409"/>
    <w:rsid w:val="000A0CFF"/>
    <w:rsid w:val="000A1217"/>
    <w:rsid w:val="000A4367"/>
    <w:rsid w:val="000A62D3"/>
    <w:rsid w:val="000A7187"/>
    <w:rsid w:val="000B16B6"/>
    <w:rsid w:val="000C2B12"/>
    <w:rsid w:val="000E31A4"/>
    <w:rsid w:val="000E6777"/>
    <w:rsid w:val="000F23AA"/>
    <w:rsid w:val="000F3753"/>
    <w:rsid w:val="001035E0"/>
    <w:rsid w:val="00107989"/>
    <w:rsid w:val="00110453"/>
    <w:rsid w:val="0011336B"/>
    <w:rsid w:val="00117C14"/>
    <w:rsid w:val="00126288"/>
    <w:rsid w:val="001270B0"/>
    <w:rsid w:val="00133297"/>
    <w:rsid w:val="00145D01"/>
    <w:rsid w:val="00150EBC"/>
    <w:rsid w:val="00152D19"/>
    <w:rsid w:val="001609FD"/>
    <w:rsid w:val="00161DD0"/>
    <w:rsid w:val="001652AE"/>
    <w:rsid w:val="001716D1"/>
    <w:rsid w:val="001736C7"/>
    <w:rsid w:val="00174932"/>
    <w:rsid w:val="0017778C"/>
    <w:rsid w:val="001806EF"/>
    <w:rsid w:val="00181ACB"/>
    <w:rsid w:val="00193538"/>
    <w:rsid w:val="001A7D71"/>
    <w:rsid w:val="001B06D4"/>
    <w:rsid w:val="001B3945"/>
    <w:rsid w:val="001B3989"/>
    <w:rsid w:val="001B4B3A"/>
    <w:rsid w:val="001B791E"/>
    <w:rsid w:val="001C1168"/>
    <w:rsid w:val="001C4345"/>
    <w:rsid w:val="001C7B7B"/>
    <w:rsid w:val="001D0630"/>
    <w:rsid w:val="001E7391"/>
    <w:rsid w:val="001F25E3"/>
    <w:rsid w:val="001F31A5"/>
    <w:rsid w:val="00206F7A"/>
    <w:rsid w:val="0021023F"/>
    <w:rsid w:val="00211F92"/>
    <w:rsid w:val="00220CBC"/>
    <w:rsid w:val="0022112A"/>
    <w:rsid w:val="002211B4"/>
    <w:rsid w:val="00223EFB"/>
    <w:rsid w:val="00223F90"/>
    <w:rsid w:val="002357A9"/>
    <w:rsid w:val="002461EF"/>
    <w:rsid w:val="00247DEC"/>
    <w:rsid w:val="00267071"/>
    <w:rsid w:val="002720EE"/>
    <w:rsid w:val="00273AD7"/>
    <w:rsid w:val="0027615F"/>
    <w:rsid w:val="00280460"/>
    <w:rsid w:val="00291B69"/>
    <w:rsid w:val="002923F4"/>
    <w:rsid w:val="002A2832"/>
    <w:rsid w:val="002A47E8"/>
    <w:rsid w:val="002A5817"/>
    <w:rsid w:val="002A6D81"/>
    <w:rsid w:val="002B068A"/>
    <w:rsid w:val="002B46F1"/>
    <w:rsid w:val="002B4F35"/>
    <w:rsid w:val="002B6475"/>
    <w:rsid w:val="002D0A55"/>
    <w:rsid w:val="003007B8"/>
    <w:rsid w:val="00300F09"/>
    <w:rsid w:val="00306BF5"/>
    <w:rsid w:val="00313A43"/>
    <w:rsid w:val="00325F51"/>
    <w:rsid w:val="00331E99"/>
    <w:rsid w:val="00341D38"/>
    <w:rsid w:val="00343B6C"/>
    <w:rsid w:val="00350893"/>
    <w:rsid w:val="00354151"/>
    <w:rsid w:val="00370D29"/>
    <w:rsid w:val="00377B18"/>
    <w:rsid w:val="00381A43"/>
    <w:rsid w:val="00384C6F"/>
    <w:rsid w:val="00385ABE"/>
    <w:rsid w:val="00392377"/>
    <w:rsid w:val="0039528C"/>
    <w:rsid w:val="003A31D7"/>
    <w:rsid w:val="003A36B5"/>
    <w:rsid w:val="003A7D7B"/>
    <w:rsid w:val="003B64A4"/>
    <w:rsid w:val="003C3A39"/>
    <w:rsid w:val="003C5CAD"/>
    <w:rsid w:val="003D2CE1"/>
    <w:rsid w:val="003E7D81"/>
    <w:rsid w:val="003F5D09"/>
    <w:rsid w:val="00400BB5"/>
    <w:rsid w:val="00402F33"/>
    <w:rsid w:val="00404EB6"/>
    <w:rsid w:val="00414F88"/>
    <w:rsid w:val="00420C3D"/>
    <w:rsid w:val="00421925"/>
    <w:rsid w:val="004236A8"/>
    <w:rsid w:val="004245AC"/>
    <w:rsid w:val="004354A2"/>
    <w:rsid w:val="004363B2"/>
    <w:rsid w:val="004402D6"/>
    <w:rsid w:val="00443F15"/>
    <w:rsid w:val="00451AE2"/>
    <w:rsid w:val="00452FC8"/>
    <w:rsid w:val="004532E0"/>
    <w:rsid w:val="00454E09"/>
    <w:rsid w:val="004555D6"/>
    <w:rsid w:val="004560AE"/>
    <w:rsid w:val="00462C59"/>
    <w:rsid w:val="00464D6D"/>
    <w:rsid w:val="004652C1"/>
    <w:rsid w:val="00471553"/>
    <w:rsid w:val="00472E4E"/>
    <w:rsid w:val="00474324"/>
    <w:rsid w:val="00485566"/>
    <w:rsid w:val="00485FA7"/>
    <w:rsid w:val="00486A53"/>
    <w:rsid w:val="004935E5"/>
    <w:rsid w:val="00493BC9"/>
    <w:rsid w:val="004A5DA4"/>
    <w:rsid w:val="004A730A"/>
    <w:rsid w:val="004B19AE"/>
    <w:rsid w:val="004B4707"/>
    <w:rsid w:val="004C6AC5"/>
    <w:rsid w:val="004C7EE6"/>
    <w:rsid w:val="004E5E49"/>
    <w:rsid w:val="00500214"/>
    <w:rsid w:val="00500975"/>
    <w:rsid w:val="005034B9"/>
    <w:rsid w:val="00512528"/>
    <w:rsid w:val="00523C18"/>
    <w:rsid w:val="00524935"/>
    <w:rsid w:val="00536D2D"/>
    <w:rsid w:val="005374B0"/>
    <w:rsid w:val="00537B10"/>
    <w:rsid w:val="00540819"/>
    <w:rsid w:val="0055163D"/>
    <w:rsid w:val="00551BCF"/>
    <w:rsid w:val="00561120"/>
    <w:rsid w:val="00563103"/>
    <w:rsid w:val="00580130"/>
    <w:rsid w:val="00584BAB"/>
    <w:rsid w:val="005A1739"/>
    <w:rsid w:val="005B2A3D"/>
    <w:rsid w:val="005B4F61"/>
    <w:rsid w:val="005C1118"/>
    <w:rsid w:val="005C6A4F"/>
    <w:rsid w:val="005D4CAC"/>
    <w:rsid w:val="005E1E85"/>
    <w:rsid w:val="005E49D3"/>
    <w:rsid w:val="0060613A"/>
    <w:rsid w:val="006214FF"/>
    <w:rsid w:val="00622099"/>
    <w:rsid w:val="00623D4B"/>
    <w:rsid w:val="00623F4C"/>
    <w:rsid w:val="006317A1"/>
    <w:rsid w:val="006330A8"/>
    <w:rsid w:val="006363B4"/>
    <w:rsid w:val="0066194F"/>
    <w:rsid w:val="00665598"/>
    <w:rsid w:val="006755F2"/>
    <w:rsid w:val="00675880"/>
    <w:rsid w:val="006972D8"/>
    <w:rsid w:val="006A18B6"/>
    <w:rsid w:val="006A3E80"/>
    <w:rsid w:val="006B2EF5"/>
    <w:rsid w:val="006B3A58"/>
    <w:rsid w:val="006B4A61"/>
    <w:rsid w:val="006C010B"/>
    <w:rsid w:val="006C1296"/>
    <w:rsid w:val="006D501F"/>
    <w:rsid w:val="006E26DA"/>
    <w:rsid w:val="006E5741"/>
    <w:rsid w:val="006F325E"/>
    <w:rsid w:val="006F4934"/>
    <w:rsid w:val="007014A0"/>
    <w:rsid w:val="00712F58"/>
    <w:rsid w:val="00740E50"/>
    <w:rsid w:val="0075144A"/>
    <w:rsid w:val="007573BC"/>
    <w:rsid w:val="00757D22"/>
    <w:rsid w:val="007669C7"/>
    <w:rsid w:val="00777106"/>
    <w:rsid w:val="00783E9C"/>
    <w:rsid w:val="00785546"/>
    <w:rsid w:val="00785A49"/>
    <w:rsid w:val="0078613B"/>
    <w:rsid w:val="007C051C"/>
    <w:rsid w:val="007F1750"/>
    <w:rsid w:val="007F35F5"/>
    <w:rsid w:val="007F3E1F"/>
    <w:rsid w:val="00806A39"/>
    <w:rsid w:val="008224D1"/>
    <w:rsid w:val="00822E77"/>
    <w:rsid w:val="00840CD9"/>
    <w:rsid w:val="00851067"/>
    <w:rsid w:val="00852FFE"/>
    <w:rsid w:val="008548C1"/>
    <w:rsid w:val="00866C48"/>
    <w:rsid w:val="008705AE"/>
    <w:rsid w:val="0087244A"/>
    <w:rsid w:val="00892701"/>
    <w:rsid w:val="0089377F"/>
    <w:rsid w:val="008A14E9"/>
    <w:rsid w:val="008A15BD"/>
    <w:rsid w:val="008A6024"/>
    <w:rsid w:val="008A6906"/>
    <w:rsid w:val="008B0254"/>
    <w:rsid w:val="008B320B"/>
    <w:rsid w:val="008C3A10"/>
    <w:rsid w:val="008D1CEB"/>
    <w:rsid w:val="008D42AD"/>
    <w:rsid w:val="008D43EF"/>
    <w:rsid w:val="008D66FD"/>
    <w:rsid w:val="008D73F4"/>
    <w:rsid w:val="008E0C1B"/>
    <w:rsid w:val="008E7DDE"/>
    <w:rsid w:val="008F0EFD"/>
    <w:rsid w:val="0090264E"/>
    <w:rsid w:val="00902BBE"/>
    <w:rsid w:val="0092173E"/>
    <w:rsid w:val="009308FF"/>
    <w:rsid w:val="00933132"/>
    <w:rsid w:val="00946E5D"/>
    <w:rsid w:val="00950A2C"/>
    <w:rsid w:val="00950B9B"/>
    <w:rsid w:val="00961D36"/>
    <w:rsid w:val="009777DC"/>
    <w:rsid w:val="00981322"/>
    <w:rsid w:val="00982DF0"/>
    <w:rsid w:val="00987CA9"/>
    <w:rsid w:val="009A2420"/>
    <w:rsid w:val="009A4141"/>
    <w:rsid w:val="009A4C4D"/>
    <w:rsid w:val="009C1551"/>
    <w:rsid w:val="009C184C"/>
    <w:rsid w:val="009C2586"/>
    <w:rsid w:val="009D42AC"/>
    <w:rsid w:val="009E2787"/>
    <w:rsid w:val="009E7930"/>
    <w:rsid w:val="009F654B"/>
    <w:rsid w:val="00A03E25"/>
    <w:rsid w:val="00A052AD"/>
    <w:rsid w:val="00A109EC"/>
    <w:rsid w:val="00A15A96"/>
    <w:rsid w:val="00A17CC8"/>
    <w:rsid w:val="00A27470"/>
    <w:rsid w:val="00A32B8E"/>
    <w:rsid w:val="00A3346D"/>
    <w:rsid w:val="00A34793"/>
    <w:rsid w:val="00A40B45"/>
    <w:rsid w:val="00A4324D"/>
    <w:rsid w:val="00A46F8D"/>
    <w:rsid w:val="00A52CC5"/>
    <w:rsid w:val="00A542E0"/>
    <w:rsid w:val="00A55705"/>
    <w:rsid w:val="00A57173"/>
    <w:rsid w:val="00A6528F"/>
    <w:rsid w:val="00A71D98"/>
    <w:rsid w:val="00A81D28"/>
    <w:rsid w:val="00AB3DAF"/>
    <w:rsid w:val="00AB5150"/>
    <w:rsid w:val="00AC685A"/>
    <w:rsid w:val="00AD4216"/>
    <w:rsid w:val="00AD54D7"/>
    <w:rsid w:val="00AD5B0E"/>
    <w:rsid w:val="00AF3F4A"/>
    <w:rsid w:val="00AF45F1"/>
    <w:rsid w:val="00AF4EBE"/>
    <w:rsid w:val="00B034F9"/>
    <w:rsid w:val="00B0547C"/>
    <w:rsid w:val="00B128CF"/>
    <w:rsid w:val="00B13DA9"/>
    <w:rsid w:val="00B145C7"/>
    <w:rsid w:val="00B16256"/>
    <w:rsid w:val="00B20F75"/>
    <w:rsid w:val="00B42AAB"/>
    <w:rsid w:val="00B434CD"/>
    <w:rsid w:val="00B464AB"/>
    <w:rsid w:val="00B62598"/>
    <w:rsid w:val="00B640A2"/>
    <w:rsid w:val="00B749F8"/>
    <w:rsid w:val="00B8001E"/>
    <w:rsid w:val="00B876D6"/>
    <w:rsid w:val="00B94C33"/>
    <w:rsid w:val="00BA2C26"/>
    <w:rsid w:val="00BB1DF2"/>
    <w:rsid w:val="00BB42B6"/>
    <w:rsid w:val="00BC63D7"/>
    <w:rsid w:val="00BC7892"/>
    <w:rsid w:val="00BD5A78"/>
    <w:rsid w:val="00BD6A6A"/>
    <w:rsid w:val="00C04147"/>
    <w:rsid w:val="00C13841"/>
    <w:rsid w:val="00C17622"/>
    <w:rsid w:val="00C20627"/>
    <w:rsid w:val="00C21973"/>
    <w:rsid w:val="00C2545A"/>
    <w:rsid w:val="00C25F9F"/>
    <w:rsid w:val="00C31630"/>
    <w:rsid w:val="00C324F5"/>
    <w:rsid w:val="00C429FB"/>
    <w:rsid w:val="00C61BA4"/>
    <w:rsid w:val="00C73343"/>
    <w:rsid w:val="00C810A4"/>
    <w:rsid w:val="00C84A45"/>
    <w:rsid w:val="00C85830"/>
    <w:rsid w:val="00C92D7F"/>
    <w:rsid w:val="00CA1DC2"/>
    <w:rsid w:val="00CA205D"/>
    <w:rsid w:val="00CA7621"/>
    <w:rsid w:val="00CB1FE9"/>
    <w:rsid w:val="00CC4AF4"/>
    <w:rsid w:val="00CC789E"/>
    <w:rsid w:val="00CD5067"/>
    <w:rsid w:val="00CE1AA7"/>
    <w:rsid w:val="00CF2E44"/>
    <w:rsid w:val="00CF5F96"/>
    <w:rsid w:val="00D03653"/>
    <w:rsid w:val="00D23BC4"/>
    <w:rsid w:val="00D348A2"/>
    <w:rsid w:val="00D34BA7"/>
    <w:rsid w:val="00D370BB"/>
    <w:rsid w:val="00D4157D"/>
    <w:rsid w:val="00D56947"/>
    <w:rsid w:val="00D65DCF"/>
    <w:rsid w:val="00D67FA2"/>
    <w:rsid w:val="00D71CF7"/>
    <w:rsid w:val="00D72C5C"/>
    <w:rsid w:val="00D75BC1"/>
    <w:rsid w:val="00D9207A"/>
    <w:rsid w:val="00D9541A"/>
    <w:rsid w:val="00DA1087"/>
    <w:rsid w:val="00DA4832"/>
    <w:rsid w:val="00DB0855"/>
    <w:rsid w:val="00DC4B65"/>
    <w:rsid w:val="00DC73C1"/>
    <w:rsid w:val="00DD0585"/>
    <w:rsid w:val="00DD520B"/>
    <w:rsid w:val="00DD6F8A"/>
    <w:rsid w:val="00DD7E32"/>
    <w:rsid w:val="00DE3548"/>
    <w:rsid w:val="00DE4CB4"/>
    <w:rsid w:val="00DE55C5"/>
    <w:rsid w:val="00DF4808"/>
    <w:rsid w:val="00DF6611"/>
    <w:rsid w:val="00E003FA"/>
    <w:rsid w:val="00E06F45"/>
    <w:rsid w:val="00E14685"/>
    <w:rsid w:val="00E33F42"/>
    <w:rsid w:val="00E368C1"/>
    <w:rsid w:val="00E42954"/>
    <w:rsid w:val="00E449EE"/>
    <w:rsid w:val="00E535BC"/>
    <w:rsid w:val="00E5437E"/>
    <w:rsid w:val="00E63125"/>
    <w:rsid w:val="00E74042"/>
    <w:rsid w:val="00E91459"/>
    <w:rsid w:val="00E94BC4"/>
    <w:rsid w:val="00E96227"/>
    <w:rsid w:val="00EA109E"/>
    <w:rsid w:val="00EA4F03"/>
    <w:rsid w:val="00EA6125"/>
    <w:rsid w:val="00EA6297"/>
    <w:rsid w:val="00EA69E2"/>
    <w:rsid w:val="00EB07F3"/>
    <w:rsid w:val="00EB5152"/>
    <w:rsid w:val="00EC013C"/>
    <w:rsid w:val="00EC02E2"/>
    <w:rsid w:val="00EC09AC"/>
    <w:rsid w:val="00EC1907"/>
    <w:rsid w:val="00EC704D"/>
    <w:rsid w:val="00EE6814"/>
    <w:rsid w:val="00EF4C4E"/>
    <w:rsid w:val="00F02032"/>
    <w:rsid w:val="00F04CAC"/>
    <w:rsid w:val="00F06D0E"/>
    <w:rsid w:val="00F10408"/>
    <w:rsid w:val="00F1135A"/>
    <w:rsid w:val="00F12962"/>
    <w:rsid w:val="00F12E6D"/>
    <w:rsid w:val="00F210B1"/>
    <w:rsid w:val="00F21CED"/>
    <w:rsid w:val="00F37711"/>
    <w:rsid w:val="00F40D97"/>
    <w:rsid w:val="00F42810"/>
    <w:rsid w:val="00F437C4"/>
    <w:rsid w:val="00F44F82"/>
    <w:rsid w:val="00F451C7"/>
    <w:rsid w:val="00F51E03"/>
    <w:rsid w:val="00F527B9"/>
    <w:rsid w:val="00F53913"/>
    <w:rsid w:val="00F64934"/>
    <w:rsid w:val="00F6536B"/>
    <w:rsid w:val="00F75273"/>
    <w:rsid w:val="00F80FB0"/>
    <w:rsid w:val="00F87B75"/>
    <w:rsid w:val="00F97E02"/>
    <w:rsid w:val="00FA04FB"/>
    <w:rsid w:val="00FA6A61"/>
    <w:rsid w:val="00FB1B3A"/>
    <w:rsid w:val="00FB5E76"/>
    <w:rsid w:val="00FB6DD3"/>
    <w:rsid w:val="00FC2349"/>
    <w:rsid w:val="00FD0ECA"/>
    <w:rsid w:val="00FD77B8"/>
    <w:rsid w:val="00FF0461"/>
    <w:rsid w:val="00FF3DF8"/>
    <w:rsid w:val="0CF7AB58"/>
    <w:rsid w:val="1106235A"/>
    <w:rsid w:val="17421F63"/>
    <w:rsid w:val="17C1504A"/>
    <w:rsid w:val="18925339"/>
    <w:rsid w:val="19220CA9"/>
    <w:rsid w:val="1E400696"/>
    <w:rsid w:val="1EDB25EB"/>
    <w:rsid w:val="1EF51B00"/>
    <w:rsid w:val="1F353CB7"/>
    <w:rsid w:val="289C342D"/>
    <w:rsid w:val="2A25F7F6"/>
    <w:rsid w:val="2A93545E"/>
    <w:rsid w:val="2BEB217A"/>
    <w:rsid w:val="2C6D5A4A"/>
    <w:rsid w:val="2F4F4D17"/>
    <w:rsid w:val="2F5E639E"/>
    <w:rsid w:val="2F7F7A2E"/>
    <w:rsid w:val="2FFFFF9B"/>
    <w:rsid w:val="31DD380A"/>
    <w:rsid w:val="326B626B"/>
    <w:rsid w:val="363650FE"/>
    <w:rsid w:val="36CFE98C"/>
    <w:rsid w:val="36E7B318"/>
    <w:rsid w:val="37FBA034"/>
    <w:rsid w:val="3AFE207E"/>
    <w:rsid w:val="3B579613"/>
    <w:rsid w:val="3B9873EC"/>
    <w:rsid w:val="3BDF0C5B"/>
    <w:rsid w:val="3E743C04"/>
    <w:rsid w:val="3EFF0240"/>
    <w:rsid w:val="3FBDDE0A"/>
    <w:rsid w:val="3FF403FA"/>
    <w:rsid w:val="477F3BD0"/>
    <w:rsid w:val="47DDCB11"/>
    <w:rsid w:val="4B746B42"/>
    <w:rsid w:val="4FECB21D"/>
    <w:rsid w:val="52383C69"/>
    <w:rsid w:val="55BA1CAA"/>
    <w:rsid w:val="57FD62FB"/>
    <w:rsid w:val="587E24CE"/>
    <w:rsid w:val="5B3E8B9A"/>
    <w:rsid w:val="5B7B4E6A"/>
    <w:rsid w:val="5BD56056"/>
    <w:rsid w:val="5D7FE9E8"/>
    <w:rsid w:val="5FBFFA41"/>
    <w:rsid w:val="5FDD51B5"/>
    <w:rsid w:val="5FDEDB1A"/>
    <w:rsid w:val="5FFBED02"/>
    <w:rsid w:val="60D600C2"/>
    <w:rsid w:val="62FFDDFE"/>
    <w:rsid w:val="63A13700"/>
    <w:rsid w:val="69AC49C8"/>
    <w:rsid w:val="6D9B2FE1"/>
    <w:rsid w:val="6DCFFCF7"/>
    <w:rsid w:val="6DEF8B4D"/>
    <w:rsid w:val="6DFFF97D"/>
    <w:rsid w:val="6E356457"/>
    <w:rsid w:val="6EBE1382"/>
    <w:rsid w:val="6F5BF1A0"/>
    <w:rsid w:val="6FADAE17"/>
    <w:rsid w:val="6FBF7D68"/>
    <w:rsid w:val="6FF13D19"/>
    <w:rsid w:val="6FFBCBD7"/>
    <w:rsid w:val="6FFFECE5"/>
    <w:rsid w:val="7372453D"/>
    <w:rsid w:val="74FCC048"/>
    <w:rsid w:val="75EE37CB"/>
    <w:rsid w:val="76FE2841"/>
    <w:rsid w:val="77F7F649"/>
    <w:rsid w:val="782D71DD"/>
    <w:rsid w:val="7B6F8F65"/>
    <w:rsid w:val="7B8F1721"/>
    <w:rsid w:val="7DE7DEC0"/>
    <w:rsid w:val="7DFEE29D"/>
    <w:rsid w:val="7F4759DA"/>
    <w:rsid w:val="7F5900FA"/>
    <w:rsid w:val="7F5E615E"/>
    <w:rsid w:val="7F5F5FD2"/>
    <w:rsid w:val="7FAE59AE"/>
    <w:rsid w:val="7FEE028B"/>
    <w:rsid w:val="7FEF800C"/>
    <w:rsid w:val="7FF886AA"/>
    <w:rsid w:val="7FFD095D"/>
    <w:rsid w:val="7FFD4931"/>
    <w:rsid w:val="7FFE0582"/>
    <w:rsid w:val="7FFFD8BF"/>
    <w:rsid w:val="7FFFF9F2"/>
    <w:rsid w:val="9CFB5033"/>
    <w:rsid w:val="9EFE7546"/>
    <w:rsid w:val="A7F91433"/>
    <w:rsid w:val="AAFF34E4"/>
    <w:rsid w:val="ADF75590"/>
    <w:rsid w:val="B4FD5CB8"/>
    <w:rsid w:val="BF33EDDE"/>
    <w:rsid w:val="CFDE31AA"/>
    <w:rsid w:val="D4FB462B"/>
    <w:rsid w:val="D78704AA"/>
    <w:rsid w:val="DADD2842"/>
    <w:rsid w:val="DB65C604"/>
    <w:rsid w:val="DB7BA341"/>
    <w:rsid w:val="DBA7D7EF"/>
    <w:rsid w:val="DBF5676A"/>
    <w:rsid w:val="DC7F837C"/>
    <w:rsid w:val="DEF78CFC"/>
    <w:rsid w:val="DF107F6C"/>
    <w:rsid w:val="E1EF1642"/>
    <w:rsid w:val="E5EE450B"/>
    <w:rsid w:val="EAD5FEB3"/>
    <w:rsid w:val="EAFBB36D"/>
    <w:rsid w:val="EDBBB6B0"/>
    <w:rsid w:val="EDEA411E"/>
    <w:rsid w:val="EF9B5783"/>
    <w:rsid w:val="F367235E"/>
    <w:rsid w:val="F5D90A6E"/>
    <w:rsid w:val="F7DB4908"/>
    <w:rsid w:val="FA79EB77"/>
    <w:rsid w:val="FC7AA590"/>
    <w:rsid w:val="FDFCD503"/>
    <w:rsid w:val="FDFF31D6"/>
    <w:rsid w:val="FE7CC5E4"/>
    <w:rsid w:val="FEAD92DC"/>
    <w:rsid w:val="FEB75475"/>
    <w:rsid w:val="FEF77838"/>
    <w:rsid w:val="FEFE04A4"/>
    <w:rsid w:val="FF65B99B"/>
    <w:rsid w:val="FF6FA7D5"/>
    <w:rsid w:val="FF6FF1C1"/>
    <w:rsid w:val="FF7AD937"/>
    <w:rsid w:val="FFB75956"/>
    <w:rsid w:val="FFBBD973"/>
    <w:rsid w:val="FFCD0C07"/>
    <w:rsid w:val="FFCD5440"/>
    <w:rsid w:val="FFDD19B4"/>
    <w:rsid w:val="FFED360A"/>
    <w:rsid w:val="FFFB82E2"/>
    <w:rsid w:val="FFFFD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6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明显参考1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2"/>
    <w:qFormat/>
    <w:uiPriority w:val="99"/>
    <w:rPr>
      <w:sz w:val="18"/>
      <w:szCs w:val="18"/>
    </w:rPr>
  </w:style>
  <w:style w:type="paragraph" w:customStyle="1" w:styleId="4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6219</Words>
  <Characters>6244</Characters>
  <Lines>47</Lines>
  <Paragraphs>13</Paragraphs>
  <TotalTime>5</TotalTime>
  <ScaleCrop>false</ScaleCrop>
  <LinksUpToDate>false</LinksUpToDate>
  <CharactersWithSpaces>6244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2026-01-14T07:03:00Z</dcterms:created>
  <dc:creator>435671685@QQ.COM</dc:creator>
  <cp:lastModifiedBy>吕红亮:拟稿</cp:lastModifiedBy>
  <cp:lastPrinted>2026-03-24T08:23:00Z</cp:lastPrinted>
  <dcterms:modified xsi:type="dcterms:W3CDTF">2026-03-30T08:54:04Z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eyJoZGlkIjoiNDZjNjA0MzFmOGQzNDk0YWRlY2IwMDk0NmNjMWQxNTkiLCJ1c2VySWQiOiIxNjQ1MzE5MDU2In0=</vt:lpwstr>
  </property>
  <property fmtid="{D5CDD505-2E9C-101B-9397-08002B2CF9AE}" pid="3" name="KSOProductBuildVer">
    <vt:lpwstr>2052-10.1.0.7323</vt:lpwstr>
  </property>
  <property fmtid="{D5CDD505-2E9C-101B-9397-08002B2CF9AE}" pid="4" name="ICV">
    <vt:lpwstr>9A41605F80DF2FB62A46BA69166D9D8A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